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095D0E" w14:textId="77777777" w:rsidR="00EB46E8" w:rsidRPr="006E4F34" w:rsidRDefault="008F420D" w:rsidP="00357BF4">
      <w:pPr>
        <w:spacing w:line="480" w:lineRule="auto"/>
        <w:rPr>
          <w:b/>
          <w:lang w:val="en-US"/>
        </w:rPr>
      </w:pPr>
      <w:r w:rsidRPr="006E4F34">
        <w:rPr>
          <w:b/>
          <w:lang w:val="en-US"/>
        </w:rPr>
        <w:t xml:space="preserve">Supplementary data </w:t>
      </w:r>
      <w:r w:rsidR="00357BF4" w:rsidRPr="006E4F34">
        <w:rPr>
          <w:b/>
          <w:lang w:val="en-US"/>
        </w:rPr>
        <w:t xml:space="preserve">table </w:t>
      </w:r>
      <w:r w:rsidRPr="006E4F34">
        <w:rPr>
          <w:b/>
          <w:lang w:val="en-US"/>
        </w:rPr>
        <w:t>contents description</w:t>
      </w:r>
    </w:p>
    <w:p w14:paraId="5E438AD8" w14:textId="77777777" w:rsidR="008F420D" w:rsidRPr="006E4F34" w:rsidRDefault="008F420D" w:rsidP="00357BF4">
      <w:pPr>
        <w:spacing w:line="480" w:lineRule="auto"/>
        <w:rPr>
          <w:lang w:val="en-US"/>
        </w:rPr>
      </w:pPr>
    </w:p>
    <w:p w14:paraId="6032797A" w14:textId="733DB6C0" w:rsidR="00B810A0" w:rsidRPr="006E4F34" w:rsidRDefault="00B810A0" w:rsidP="00B810A0">
      <w:pPr>
        <w:spacing w:line="480" w:lineRule="auto"/>
        <w:rPr>
          <w:lang w:val="en-US"/>
        </w:rPr>
      </w:pPr>
      <w:r w:rsidRPr="006E4F34">
        <w:rPr>
          <w:b/>
        </w:rPr>
        <w:t>Table</w:t>
      </w:r>
      <w:r w:rsidRPr="006E4F34">
        <w:rPr>
          <w:b/>
          <w:caps/>
        </w:rPr>
        <w:t xml:space="preserve"> S</w:t>
      </w:r>
      <w:r>
        <w:rPr>
          <w:b/>
          <w:caps/>
        </w:rPr>
        <w:t>1</w:t>
      </w:r>
      <w:r w:rsidRPr="006E4F34">
        <w:rPr>
          <w:b/>
          <w:caps/>
        </w:rPr>
        <w:t>.</w:t>
      </w:r>
      <w:r w:rsidRPr="006E4F34">
        <w:t xml:space="preserve">  Summary of annual geophysical surveys and respective anomalies (modified from</w:t>
      </w:r>
      <w:r w:rsidR="00210530">
        <w:rPr>
          <w:vertAlign w:val="superscript"/>
        </w:rPr>
        <w:t>14</w:t>
      </w:r>
      <w:r w:rsidRPr="006E4F34">
        <w:t xml:space="preserve">). </w:t>
      </w:r>
      <w:r w:rsidRPr="006E4F34">
        <w:rPr>
          <w:vertAlign w:val="superscript"/>
        </w:rPr>
        <w:t>+</w:t>
      </w:r>
      <w:r w:rsidRPr="006E4F34">
        <w:t>Burial date was 7</w:t>
      </w:r>
      <w:r w:rsidRPr="006E4F34">
        <w:rPr>
          <w:vertAlign w:val="superscript"/>
        </w:rPr>
        <w:t>th</w:t>
      </w:r>
      <w:r w:rsidRPr="006E4F34">
        <w:t xml:space="preserve"> December 2007.  *ADD based on average daily site temperatures at 0.3 m </w:t>
      </w:r>
      <w:proofErr w:type="spellStart"/>
      <w:r w:rsidRPr="006E4F34">
        <w:t>bgl</w:t>
      </w:r>
      <w:proofErr w:type="spellEnd"/>
      <w:r w:rsidRPr="006E4F34">
        <w:t xml:space="preserve"> (see</w:t>
      </w:r>
      <w:r w:rsidR="00210530">
        <w:rPr>
          <w:vertAlign w:val="superscript"/>
        </w:rPr>
        <w:t>14</w:t>
      </w:r>
      <w:r w:rsidRPr="006E4F34">
        <w:t xml:space="preserve">). </w:t>
      </w:r>
      <w:r w:rsidRPr="006E4F34">
        <w:rPr>
          <w:iCs/>
        </w:rPr>
        <w:t xml:space="preserve">Key: Good </w:t>
      </w:r>
      <w:r w:rsidRPr="006E4F34">
        <w:rPr>
          <w:iCs/>
          <w:noProof/>
          <w:lang w:eastAsia="en-GB"/>
        </w:rPr>
        <w:drawing>
          <wp:inline distT="0" distB="0" distL="0" distR="0" wp14:anchorId="7D58CFCF" wp14:editId="532921D9">
            <wp:extent cx="128270" cy="115570"/>
            <wp:effectExtent l="0" t="0" r="5080" b="0"/>
            <wp:docPr id="153" name="Picture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E4F34">
        <w:rPr>
          <w:iCs/>
        </w:rPr>
        <w:t xml:space="preserve">; Medium </w:t>
      </w:r>
      <w:r w:rsidRPr="006E4F34">
        <w:rPr>
          <w:iCs/>
          <w:noProof/>
          <w:lang w:eastAsia="en-GB"/>
        </w:rPr>
        <w:drawing>
          <wp:inline distT="0" distB="0" distL="0" distR="0" wp14:anchorId="6C04602A" wp14:editId="7EEA1F65">
            <wp:extent cx="128270" cy="115570"/>
            <wp:effectExtent l="0" t="0" r="5080" b="0"/>
            <wp:docPr id="154" name="Picture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E4F34">
        <w:rPr>
          <w:iCs/>
        </w:rPr>
        <w:t xml:space="preserve">; Poor </w:t>
      </w:r>
      <w:r w:rsidRPr="006E4F34">
        <w:rPr>
          <w:iCs/>
          <w:noProof/>
          <w:lang w:eastAsia="en-GB"/>
        </w:rPr>
        <w:drawing>
          <wp:inline distT="0" distB="0" distL="0" distR="0" wp14:anchorId="76C35482" wp14:editId="3E8DF1F1">
            <wp:extent cx="128270" cy="128270"/>
            <wp:effectExtent l="0" t="0" r="5080" b="5080"/>
            <wp:docPr id="155" name="Picture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E4F34">
        <w:rPr>
          <w:iCs/>
        </w:rPr>
        <w:t>; chances of success.</w:t>
      </w:r>
      <w:r w:rsidRPr="006E4F34">
        <w:t xml:space="preserve"> N/A denotes data not collected. Table does not differentiate on target size, burial depth / styles, other depositional environments (see</w:t>
      </w:r>
      <w:r w:rsidRPr="006E4F34">
        <w:rPr>
          <w:vertAlign w:val="superscript"/>
        </w:rPr>
        <w:t>12,71</w:t>
      </w:r>
      <w:r w:rsidRPr="006E4F34">
        <w:t>) and other case-specific factors.</w:t>
      </w:r>
    </w:p>
    <w:p w14:paraId="0B6B2493" w14:textId="77777777" w:rsidR="00B810A0" w:rsidRDefault="00B810A0" w:rsidP="00D24211">
      <w:pPr>
        <w:spacing w:after="0" w:line="480" w:lineRule="auto"/>
        <w:rPr>
          <w:rFonts w:ascii="Calibri" w:eastAsia="Times New Roman" w:hAnsi="Calibri" w:cs="Calibri"/>
          <w:b/>
          <w:color w:val="000000"/>
          <w:lang w:eastAsia="en-GB"/>
        </w:rPr>
      </w:pPr>
    </w:p>
    <w:p w14:paraId="2866DA6B" w14:textId="77777777" w:rsidR="00D24211" w:rsidRDefault="00D24211" w:rsidP="00D24211">
      <w:pPr>
        <w:spacing w:after="0" w:line="480" w:lineRule="auto"/>
        <w:rPr>
          <w:rFonts w:ascii="Calibri" w:eastAsia="Times New Roman" w:hAnsi="Calibri" w:cs="Calibri"/>
          <w:color w:val="000000"/>
          <w:lang w:eastAsia="en-GB"/>
        </w:rPr>
      </w:pPr>
      <w:r w:rsidRPr="006E4F34">
        <w:rPr>
          <w:rFonts w:ascii="Calibri" w:eastAsia="Times New Roman" w:hAnsi="Calibri" w:cs="Calibri"/>
          <w:b/>
          <w:color w:val="000000"/>
          <w:lang w:eastAsia="en-GB"/>
        </w:rPr>
        <w:t>Table S</w:t>
      </w:r>
      <w:r w:rsidR="00B810A0">
        <w:rPr>
          <w:rFonts w:ascii="Calibri" w:eastAsia="Times New Roman" w:hAnsi="Calibri" w:cs="Calibri"/>
          <w:b/>
          <w:color w:val="000000"/>
          <w:lang w:eastAsia="en-GB"/>
        </w:rPr>
        <w:t>2</w:t>
      </w:r>
      <w:r w:rsidRPr="006E4F34">
        <w:rPr>
          <w:rFonts w:ascii="Calibri" w:eastAsia="Times New Roman" w:hAnsi="Calibri" w:cs="Calibri"/>
          <w:b/>
          <w:color w:val="000000"/>
          <w:lang w:eastAsia="en-GB"/>
        </w:rPr>
        <w:t>.</w:t>
      </w:r>
      <w:r w:rsidRPr="006E4F34">
        <w:rPr>
          <w:rFonts w:ascii="Calibri" w:eastAsia="Times New Roman" w:hAnsi="Calibri" w:cs="Calibri"/>
          <w:color w:val="000000"/>
          <w:lang w:eastAsia="en-GB"/>
        </w:rPr>
        <w:t xml:space="preserve"> ERM raw annual datasets and summary statistics</w:t>
      </w:r>
    </w:p>
    <w:p w14:paraId="0CD60B7F" w14:textId="77777777" w:rsidR="00D24211" w:rsidRDefault="00D24211" w:rsidP="00D24211">
      <w:pPr>
        <w:spacing w:after="0" w:line="480" w:lineRule="auto"/>
        <w:rPr>
          <w:rFonts w:ascii="Calibri" w:eastAsia="Times New Roman" w:hAnsi="Calibri" w:cs="Calibri"/>
          <w:b/>
          <w:color w:val="000000"/>
          <w:lang w:eastAsia="en-GB"/>
        </w:rPr>
      </w:pPr>
    </w:p>
    <w:p w14:paraId="0A83CBB3" w14:textId="77777777" w:rsidR="00D24211" w:rsidRPr="006E4F34" w:rsidRDefault="00D24211" w:rsidP="00D24211">
      <w:pPr>
        <w:spacing w:after="0" w:line="480" w:lineRule="auto"/>
        <w:rPr>
          <w:rFonts w:ascii="Calibri" w:eastAsia="Times New Roman" w:hAnsi="Calibri" w:cs="Calibri"/>
          <w:color w:val="000000"/>
          <w:lang w:eastAsia="en-GB"/>
        </w:rPr>
      </w:pPr>
      <w:r w:rsidRPr="006E4F34">
        <w:rPr>
          <w:rFonts w:ascii="Calibri" w:eastAsia="Times New Roman" w:hAnsi="Calibri" w:cs="Calibri"/>
          <w:b/>
          <w:color w:val="000000"/>
          <w:lang w:eastAsia="en-GB"/>
        </w:rPr>
        <w:t>Table S</w:t>
      </w:r>
      <w:r w:rsidR="00B810A0">
        <w:rPr>
          <w:rFonts w:ascii="Calibri" w:eastAsia="Times New Roman" w:hAnsi="Calibri" w:cs="Calibri"/>
          <w:b/>
          <w:color w:val="000000"/>
          <w:lang w:eastAsia="en-GB"/>
        </w:rPr>
        <w:t>3</w:t>
      </w:r>
      <w:r w:rsidRPr="006E4F34">
        <w:rPr>
          <w:rFonts w:ascii="Calibri" w:eastAsia="Times New Roman" w:hAnsi="Calibri" w:cs="Calibri"/>
          <w:b/>
          <w:color w:val="000000"/>
          <w:lang w:eastAsia="en-GB"/>
        </w:rPr>
        <w:t>.</w:t>
      </w:r>
      <w:r w:rsidRPr="006E4F34">
        <w:rPr>
          <w:rFonts w:ascii="Calibri" w:eastAsia="Times New Roman" w:hAnsi="Calibri" w:cs="Calibri"/>
          <w:color w:val="000000"/>
          <w:lang w:eastAsia="en-GB"/>
        </w:rPr>
        <w:t xml:space="preserve"> ERI raw annual datasets and summary statistics</w:t>
      </w:r>
    </w:p>
    <w:p w14:paraId="7D2A4D38" w14:textId="77777777" w:rsidR="00D24211" w:rsidRDefault="00D24211" w:rsidP="00D24211">
      <w:pPr>
        <w:spacing w:line="480" w:lineRule="auto"/>
        <w:rPr>
          <w:b/>
          <w:lang w:val="en-US"/>
        </w:rPr>
      </w:pPr>
    </w:p>
    <w:p w14:paraId="5AE14A37" w14:textId="77777777" w:rsidR="00D24211" w:rsidRPr="006E4F34" w:rsidRDefault="00D24211" w:rsidP="00D24211">
      <w:pPr>
        <w:spacing w:line="480" w:lineRule="auto"/>
        <w:rPr>
          <w:lang w:val="en-US"/>
        </w:rPr>
      </w:pPr>
      <w:r w:rsidRPr="006E4F34">
        <w:rPr>
          <w:b/>
          <w:lang w:val="en-US"/>
        </w:rPr>
        <w:t>Table S</w:t>
      </w:r>
      <w:r w:rsidR="00B810A0">
        <w:rPr>
          <w:b/>
          <w:lang w:val="en-US"/>
        </w:rPr>
        <w:t>4</w:t>
      </w:r>
      <w:r w:rsidRPr="006E4F34">
        <w:rPr>
          <w:b/>
          <w:lang w:val="en-US"/>
        </w:rPr>
        <w:t>.</w:t>
      </w:r>
      <w:r w:rsidRPr="006E4F34">
        <w:rPr>
          <w:lang w:val="en-US"/>
        </w:rPr>
        <w:t xml:space="preserve"> GPR raw annual data. Data has been supplied in two formats (SEGY and </w:t>
      </w:r>
      <w:proofErr w:type="spellStart"/>
      <w:r w:rsidRPr="006E4F34">
        <w:rPr>
          <w:lang w:val="en-US"/>
        </w:rPr>
        <w:t>ReflexW</w:t>
      </w:r>
      <w:proofErr w:type="spellEnd"/>
      <w:r w:rsidRPr="006E4F34">
        <w:rPr>
          <w:lang w:val="en-US"/>
        </w:rPr>
        <w:t xml:space="preserve"> .</w:t>
      </w:r>
      <w:proofErr w:type="spellStart"/>
      <w:r w:rsidRPr="006E4F34">
        <w:rPr>
          <w:lang w:val="en-US"/>
        </w:rPr>
        <w:t>dat</w:t>
      </w:r>
      <w:proofErr w:type="spellEnd"/>
      <w:r w:rsidRPr="006E4F34">
        <w:rPr>
          <w:lang w:val="en-US"/>
        </w:rPr>
        <w:t xml:space="preserve"> file). SEGY should be readable by any GPR processing software, </w:t>
      </w:r>
      <w:proofErr w:type="spellStart"/>
      <w:r w:rsidRPr="006E4F34">
        <w:rPr>
          <w:lang w:val="en-US"/>
        </w:rPr>
        <w:t>ReflexW</w:t>
      </w:r>
      <w:proofErr w:type="spellEnd"/>
      <w:r w:rsidRPr="006E4F34">
        <w:rPr>
          <w:lang w:val="en-US"/>
        </w:rPr>
        <w:t xml:space="preserve"> files can be processed and viewed in </w:t>
      </w:r>
      <w:proofErr w:type="spellStart"/>
      <w:r w:rsidRPr="006E4F34">
        <w:rPr>
          <w:lang w:val="en-US"/>
        </w:rPr>
        <w:t>ReflexW</w:t>
      </w:r>
      <w:proofErr w:type="spellEnd"/>
      <w:r w:rsidRPr="006E4F34">
        <w:rPr>
          <w:lang w:val="en-US"/>
        </w:rPr>
        <w:t>, and may be exported into other file formats within the software. Datafiles follow the following naming convention to avoid confusion. "Antenna Frequency" "Year" "Month" "Target (W = wrapped, N = Naked).</w:t>
      </w:r>
    </w:p>
    <w:p w14:paraId="0FE8F6FA" w14:textId="77777777" w:rsidR="00D24211" w:rsidRPr="006E4F34" w:rsidRDefault="00D24211" w:rsidP="00D24211">
      <w:pPr>
        <w:spacing w:after="0" w:line="480" w:lineRule="auto"/>
        <w:rPr>
          <w:rFonts w:ascii="Calibri" w:eastAsia="Times New Roman" w:hAnsi="Calibri" w:cs="Calibri"/>
          <w:color w:val="000000"/>
          <w:lang w:eastAsia="en-GB"/>
        </w:rPr>
      </w:pPr>
    </w:p>
    <w:p w14:paraId="775783DF" w14:textId="77777777" w:rsidR="008F420D" w:rsidRPr="006E4F34" w:rsidRDefault="008F420D" w:rsidP="00357BF4">
      <w:pPr>
        <w:spacing w:line="480" w:lineRule="auto"/>
        <w:rPr>
          <w:lang w:val="en-US"/>
        </w:rPr>
      </w:pPr>
      <w:r w:rsidRPr="006E4F34">
        <w:rPr>
          <w:b/>
          <w:lang w:val="en-US"/>
        </w:rPr>
        <w:t>Table S</w:t>
      </w:r>
      <w:r w:rsidR="00B810A0">
        <w:rPr>
          <w:b/>
          <w:lang w:val="en-US"/>
        </w:rPr>
        <w:t>5</w:t>
      </w:r>
      <w:r w:rsidRPr="006E4F34">
        <w:rPr>
          <w:b/>
          <w:lang w:val="en-US"/>
        </w:rPr>
        <w:t>.</w:t>
      </w:r>
      <w:r w:rsidRPr="006E4F34">
        <w:rPr>
          <w:lang w:val="en-US"/>
        </w:rPr>
        <w:t xml:space="preserve"> Summary of monthly weather data used in this 10 year study from the </w:t>
      </w:r>
      <w:proofErr w:type="spellStart"/>
      <w:r w:rsidRPr="006E4F34">
        <w:rPr>
          <w:lang w:val="en-US"/>
        </w:rPr>
        <w:t>Keele</w:t>
      </w:r>
      <w:proofErr w:type="spellEnd"/>
      <w:r w:rsidRPr="006E4F34">
        <w:rPr>
          <w:lang w:val="en-US"/>
        </w:rPr>
        <w:t xml:space="preserve"> University meteorological weather station.</w:t>
      </w:r>
    </w:p>
    <w:p w14:paraId="736B04E9" w14:textId="77777777" w:rsidR="008F420D" w:rsidRPr="006E4F34" w:rsidRDefault="008F420D" w:rsidP="00357BF4">
      <w:pPr>
        <w:spacing w:line="480" w:lineRule="auto"/>
        <w:rPr>
          <w:lang w:val="en-US"/>
        </w:rPr>
      </w:pPr>
    </w:p>
    <w:p w14:paraId="316EA911" w14:textId="75062FFA" w:rsidR="00B810A0" w:rsidRPr="00210530" w:rsidRDefault="008F420D">
      <w:pPr>
        <w:spacing w:line="480" w:lineRule="auto"/>
        <w:rPr>
          <w:rFonts w:ascii="Calibri" w:eastAsia="Times New Roman" w:hAnsi="Calibri" w:cs="Calibri"/>
          <w:color w:val="000000"/>
          <w:lang w:eastAsia="en-GB"/>
        </w:rPr>
      </w:pPr>
      <w:r w:rsidRPr="006E4F34">
        <w:rPr>
          <w:b/>
          <w:lang w:val="en-US"/>
        </w:rPr>
        <w:t>Table S</w:t>
      </w:r>
      <w:r w:rsidR="00B810A0">
        <w:rPr>
          <w:b/>
          <w:lang w:val="en-US"/>
        </w:rPr>
        <w:t>6</w:t>
      </w:r>
      <w:r w:rsidRPr="006E4F34">
        <w:rPr>
          <w:b/>
          <w:lang w:val="en-US"/>
        </w:rPr>
        <w:t>.</w:t>
      </w:r>
      <w:r w:rsidRPr="006E4F34">
        <w:rPr>
          <w:rFonts w:ascii="Calibri" w:eastAsia="Times New Roman" w:hAnsi="Calibri" w:cs="Calibri"/>
          <w:color w:val="000000"/>
          <w:lang w:eastAsia="en-GB"/>
        </w:rPr>
        <w:t xml:space="preserve"> List of soil water data measurements derived during this study at the primary </w:t>
      </w:r>
      <w:proofErr w:type="spellStart"/>
      <w:r w:rsidRPr="006E4F34">
        <w:rPr>
          <w:rFonts w:ascii="Calibri" w:eastAsia="Times New Roman" w:hAnsi="Calibri" w:cs="Calibri"/>
          <w:color w:val="000000"/>
          <w:lang w:eastAsia="en-GB"/>
        </w:rPr>
        <w:t>Keele</w:t>
      </w:r>
      <w:proofErr w:type="spellEnd"/>
      <w:r w:rsidRPr="006E4F34">
        <w:rPr>
          <w:rFonts w:ascii="Calibri" w:eastAsia="Times New Roman" w:hAnsi="Calibri" w:cs="Calibri"/>
          <w:color w:val="000000"/>
          <w:lang w:eastAsia="en-GB"/>
        </w:rPr>
        <w:t xml:space="preserve"> test site</w:t>
      </w:r>
      <w:r w:rsidR="00210530">
        <w:rPr>
          <w:rFonts w:ascii="Calibri" w:eastAsia="Times New Roman" w:hAnsi="Calibri" w:cs="Calibri"/>
          <w:color w:val="000000"/>
          <w:lang w:eastAsia="en-GB"/>
        </w:rPr>
        <w:t xml:space="preserve"> (modified from</w:t>
      </w:r>
      <w:r w:rsidR="00210530" w:rsidRPr="00210530">
        <w:rPr>
          <w:rFonts w:ascii="Calibri" w:eastAsia="Times New Roman" w:hAnsi="Calibri" w:cs="Calibri"/>
          <w:color w:val="000000"/>
          <w:vertAlign w:val="superscript"/>
          <w:lang w:eastAsia="en-GB"/>
        </w:rPr>
        <w:t>48</w:t>
      </w:r>
      <w:r w:rsidR="00210530">
        <w:rPr>
          <w:rFonts w:ascii="Calibri" w:eastAsia="Times New Roman" w:hAnsi="Calibri" w:cs="Calibri"/>
          <w:color w:val="000000"/>
          <w:lang w:eastAsia="en-GB"/>
        </w:rPr>
        <w:t>)</w:t>
      </w:r>
      <w:r w:rsidRPr="006E4F34">
        <w:rPr>
          <w:rFonts w:ascii="Calibri" w:eastAsia="Times New Roman" w:hAnsi="Calibri" w:cs="Calibri"/>
          <w:color w:val="000000"/>
          <w:lang w:eastAsia="en-GB"/>
        </w:rPr>
        <w:t xml:space="preserve">. Note Accumulated Degree Days (ADD) used the 0.3 m </w:t>
      </w:r>
      <w:proofErr w:type="spellStart"/>
      <w:r w:rsidRPr="006E4F34">
        <w:rPr>
          <w:rFonts w:ascii="Calibri" w:eastAsia="Times New Roman" w:hAnsi="Calibri" w:cs="Calibri"/>
          <w:color w:val="000000"/>
          <w:lang w:eastAsia="en-GB"/>
        </w:rPr>
        <w:t>bgl</w:t>
      </w:r>
      <w:proofErr w:type="spellEnd"/>
      <w:r w:rsidRPr="006E4F34">
        <w:rPr>
          <w:rFonts w:ascii="Calibri" w:eastAsia="Times New Roman" w:hAnsi="Calibri" w:cs="Calibri"/>
          <w:color w:val="000000"/>
          <w:lang w:eastAsia="en-GB"/>
        </w:rPr>
        <w:t xml:space="preserve"> soil probe data in Table S1.</w:t>
      </w:r>
      <w:bookmarkStart w:id="0" w:name="_GoBack"/>
      <w:bookmarkEnd w:id="0"/>
    </w:p>
    <w:sectPr w:rsidR="00B810A0" w:rsidRPr="002105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3FAB"/>
    <w:rsid w:val="00210530"/>
    <w:rsid w:val="00357BF4"/>
    <w:rsid w:val="004C1BB4"/>
    <w:rsid w:val="006E4F34"/>
    <w:rsid w:val="008F420D"/>
    <w:rsid w:val="00AE3FAB"/>
    <w:rsid w:val="00B762A1"/>
    <w:rsid w:val="00B810A0"/>
    <w:rsid w:val="00D24211"/>
    <w:rsid w:val="00E62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8BBCA"/>
  <w15:chartTrackingRefBased/>
  <w15:docId w15:val="{87216A43-229E-4E40-A4A7-54FA292AE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74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Keele University</Company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</dc:creator>
  <cp:keywords/>
  <dc:description/>
  <cp:lastModifiedBy>nat mp</cp:lastModifiedBy>
  <cp:revision>5</cp:revision>
  <dcterms:created xsi:type="dcterms:W3CDTF">2019-11-29T14:15:00Z</dcterms:created>
  <dcterms:modified xsi:type="dcterms:W3CDTF">2019-11-30T15:43:00Z</dcterms:modified>
</cp:coreProperties>
</file>